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F0" w:rsidRPr="0049228C" w:rsidRDefault="0049228C" w:rsidP="00492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28C">
        <w:rPr>
          <w:rFonts w:ascii="Times New Roman" w:hAnsi="Times New Roman" w:cs="Times New Roman"/>
          <w:sz w:val="28"/>
          <w:szCs w:val="28"/>
        </w:rPr>
        <w:t>В соответствии с решением Совета народных депутатов муниципа</w:t>
      </w:r>
      <w:bookmarkStart w:id="0" w:name="_GoBack"/>
      <w:bookmarkEnd w:id="0"/>
      <w:r w:rsidRPr="0049228C">
        <w:rPr>
          <w:rFonts w:ascii="Times New Roman" w:hAnsi="Times New Roman" w:cs="Times New Roman"/>
          <w:sz w:val="28"/>
          <w:szCs w:val="28"/>
        </w:rPr>
        <w:t xml:space="preserve">льного образования «Город Майкоп» № 211 – </w:t>
      </w:r>
      <w:proofErr w:type="spellStart"/>
      <w:r w:rsidRPr="0049228C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49228C">
        <w:rPr>
          <w:rFonts w:ascii="Times New Roman" w:hAnsi="Times New Roman" w:cs="Times New Roman"/>
          <w:sz w:val="28"/>
          <w:szCs w:val="28"/>
        </w:rPr>
        <w:t xml:space="preserve"> от 25.11.2021 «О внесении изменения в решение Совета народных депутатов муниципального образования «Город Майкоп» от 26.11.2014 № 87-рс «О налоге на имущество физических лиц на территории муниципального образования «Город Майкоп» ставка налога на имущество физических лиц исходя из кадастровой стоимости объекта налогообложения была снижена </w:t>
      </w:r>
      <w:r w:rsidRPr="0049228C">
        <w:rPr>
          <w:rFonts w:ascii="Times New Roman" w:hAnsi="Times New Roman" w:cs="Times New Roman"/>
          <w:b/>
          <w:sz w:val="28"/>
          <w:szCs w:val="28"/>
        </w:rPr>
        <w:t>с 2,0 до 0,7 процента в 2020 году, до 1,0 процента в 2021 году и до 1,1 процента в 2022 году</w:t>
      </w:r>
      <w:r w:rsidRPr="0049228C">
        <w:rPr>
          <w:rFonts w:ascii="Times New Roman" w:hAnsi="Times New Roman" w:cs="Times New Roman"/>
          <w:sz w:val="28"/>
          <w:szCs w:val="28"/>
        </w:rPr>
        <w:t xml:space="preserve"> по объектам налогообложения, включенным в перечень, определяемый в соответствии с пунктом 7 статьи 378.2 Налогового кодекса Российской Федерации; объектам налогообложения, предусмотренным абзацем вторым пункта 10 статьи 378.2 Налогового кодекса Российской Федерации; объектам налогообложения, кадастровая стоимость каждого из которых превышает 300 миллионов рублей.</w:t>
      </w:r>
    </w:p>
    <w:sectPr w:rsidR="00C566F0" w:rsidRPr="00492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21"/>
    <w:rsid w:val="002B5A21"/>
    <w:rsid w:val="0049228C"/>
    <w:rsid w:val="00C5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2FCC8-C77A-4E1A-8D3F-969D2FFA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Паранук Аскер Казбекович</dc:creator>
  <cp:keywords/>
  <dc:description/>
  <cp:lastModifiedBy>Паранук Аскер Казбекович</cp:lastModifiedBy>
  <cp:revision>3</cp:revision>
  <dcterms:created xsi:type="dcterms:W3CDTF">2022-04-06T12:03:00Z</dcterms:created>
  <dcterms:modified xsi:type="dcterms:W3CDTF">2022-04-06T12:04:00Z</dcterms:modified>
</cp:coreProperties>
</file>